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07051">
      <w:bookmarkStart w:id="0" w:name="_GoBack"/>
      <w:bookmarkEnd w:id="0"/>
      <w:r>
        <w:rPr>
          <w:sz w:val="18"/>
          <w:highlight w:val="none"/>
        </w:rPr>
        <mc:AlternateContent>
          <mc:Choice Requires="wps">
            <w:drawing>
              <wp:anchor distT="0" distB="0" distL="114300" distR="114300" simplePos="0" relativeHeight="251659264" behindDoc="0" locked="0" layoutInCell="1" allowOverlap="1">
                <wp:simplePos x="0" y="0"/>
                <wp:positionH relativeFrom="column">
                  <wp:posOffset>-591185</wp:posOffset>
                </wp:positionH>
                <wp:positionV relativeFrom="paragraph">
                  <wp:posOffset>-857885</wp:posOffset>
                </wp:positionV>
                <wp:extent cx="10031095" cy="6959600"/>
                <wp:effectExtent l="0" t="0" r="8255" b="12700"/>
                <wp:wrapNone/>
                <wp:docPr id="8" name="文本框 8"/>
                <wp:cNvGraphicFramePr/>
                <a:graphic xmlns:a="http://schemas.openxmlformats.org/drawingml/2006/main">
                  <a:graphicData uri="http://schemas.microsoft.com/office/word/2010/wordprocessingShape">
                    <wps:wsp>
                      <wps:cNvSpPr txBox="1"/>
                      <wps:spPr>
                        <a:xfrm>
                          <a:off x="0" y="0"/>
                          <a:ext cx="10031095" cy="69596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3"/>
                              <w:tblW w:w="500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4"/>
                              <w:gridCol w:w="396"/>
                              <w:gridCol w:w="750"/>
                              <w:gridCol w:w="799"/>
                              <w:gridCol w:w="4098"/>
                              <w:gridCol w:w="1676"/>
                              <w:gridCol w:w="688"/>
                              <w:gridCol w:w="671"/>
                              <w:gridCol w:w="6116"/>
                            </w:tblGrid>
                            <w:tr w14:paraId="7ED50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788" w:type="pct"/>
                                  <w:gridSpan w:val="4"/>
                                  <w:tcBorders>
                                    <w:top w:val="nil"/>
                                    <w:left w:val="nil"/>
                                    <w:bottom w:val="nil"/>
                                    <w:right w:val="nil"/>
                                  </w:tcBorders>
                                  <w:shd w:val="clear" w:color="auto" w:fill="auto"/>
                                  <w:noWrap/>
                                  <w:vAlign w:val="center"/>
                                </w:tcPr>
                                <w:p w14:paraId="3D868EF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附件1</w:t>
                                  </w:r>
                                </w:p>
                              </w:tc>
                              <w:tc>
                                <w:tcPr>
                                  <w:tcW w:w="1302" w:type="pct"/>
                                  <w:tcBorders>
                                    <w:top w:val="nil"/>
                                    <w:left w:val="nil"/>
                                    <w:bottom w:val="nil"/>
                                    <w:right w:val="nil"/>
                                  </w:tcBorders>
                                  <w:shd w:val="clear" w:color="auto" w:fill="auto"/>
                                  <w:noWrap/>
                                  <w:vAlign w:val="center"/>
                                </w:tcPr>
                                <w:p w14:paraId="1D12B9EA">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532" w:type="pct"/>
                                  <w:tcBorders>
                                    <w:top w:val="nil"/>
                                    <w:left w:val="nil"/>
                                    <w:bottom w:val="nil"/>
                                    <w:right w:val="nil"/>
                                  </w:tcBorders>
                                  <w:shd w:val="clear" w:color="auto" w:fill="auto"/>
                                  <w:noWrap/>
                                  <w:vAlign w:val="center"/>
                                </w:tcPr>
                                <w:p w14:paraId="3B798190">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218" w:type="pct"/>
                                  <w:tcBorders>
                                    <w:top w:val="nil"/>
                                    <w:left w:val="nil"/>
                                    <w:bottom w:val="nil"/>
                                    <w:right w:val="nil"/>
                                  </w:tcBorders>
                                  <w:shd w:val="clear" w:color="auto" w:fill="auto"/>
                                  <w:noWrap/>
                                  <w:vAlign w:val="center"/>
                                </w:tcPr>
                                <w:p w14:paraId="75D5630E">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213" w:type="pct"/>
                                  <w:tcBorders>
                                    <w:top w:val="nil"/>
                                    <w:left w:val="nil"/>
                                    <w:bottom w:val="nil"/>
                                    <w:right w:val="nil"/>
                                  </w:tcBorders>
                                  <w:shd w:val="clear" w:color="auto" w:fill="auto"/>
                                  <w:noWrap/>
                                  <w:vAlign w:val="center"/>
                                </w:tcPr>
                                <w:p w14:paraId="0EF24914">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1944" w:type="pct"/>
                                  <w:tcBorders>
                                    <w:top w:val="nil"/>
                                    <w:left w:val="nil"/>
                                    <w:bottom w:val="nil"/>
                                    <w:right w:val="nil"/>
                                  </w:tcBorders>
                                  <w:shd w:val="clear" w:color="auto" w:fill="auto"/>
                                  <w:noWrap/>
                                  <w:vAlign w:val="center"/>
                                </w:tcPr>
                                <w:p w14:paraId="718C9746">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r>
                            <w:tr w14:paraId="1F8A7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000" w:type="pct"/>
                                  <w:gridSpan w:val="9"/>
                                  <w:tcBorders>
                                    <w:top w:val="nil"/>
                                    <w:left w:val="nil"/>
                                    <w:bottom w:val="nil"/>
                                    <w:right w:val="nil"/>
                                  </w:tcBorders>
                                  <w:shd w:val="clear" w:color="auto" w:fill="auto"/>
                                  <w:vAlign w:val="center"/>
                                </w:tcPr>
                                <w:p w14:paraId="4E0A70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default" w:ascii="Times New Roman" w:hAnsi="Times New Roman" w:eastAsia="仿宋_GB2312" w:cs="Times New Roman"/>
                                      <w:b/>
                                      <w:bCs/>
                                      <w:i w:val="0"/>
                                      <w:iCs w:val="0"/>
                                      <w:color w:val="000000"/>
                                      <w:kern w:val="0"/>
                                      <w:sz w:val="28"/>
                                      <w:szCs w:val="28"/>
                                      <w:u w:val="none"/>
                                      <w:lang w:val="en-US" w:eastAsia="zh-CN" w:bidi="ar"/>
                                    </w:rPr>
                                    <w:t>江西省海昏文化旅游发展有限责任公司2025年公开招聘高级管理人员职位表</w:t>
                                  </w:r>
                                </w:p>
                              </w:tc>
                            </w:tr>
                            <w:tr w14:paraId="2F4F1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AC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76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部门</w:t>
                                  </w:r>
                                </w:p>
                              </w:tc>
                              <w:tc>
                                <w:tcPr>
                                  <w:tcW w:w="2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26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招聘岗位</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C74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招聘人数</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11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岗位职责</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6A7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78B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FF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年龄</w:t>
                                  </w:r>
                                </w:p>
                              </w:tc>
                              <w:tc>
                                <w:tcPr>
                                  <w:tcW w:w="1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91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其他条件</w:t>
                                  </w:r>
                                </w:p>
                              </w:tc>
                            </w:tr>
                            <w:tr w14:paraId="7322E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6"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7D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2E7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总经办</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7C2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副总经理</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CE6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8B9C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分管公园产业发展、品牌宣传、活动策划及市场营销工作。</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ED9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不限专业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C059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71F6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年龄45周岁及以下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0AB2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1.在中央企业(需为央企三级以上子公司）担任过中层副职及以上职务。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2.在省属国有企业（含二级以上子公司）担任过中层副职及以上职务。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3.在地级市属国有企业总部担任过中层副职及以上职务。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4.在县（市、区）属国有企业总部担任过中层正职及以上职务。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5.在注册地为江西省且注册资本金为5000万元及以上的外资或民营企业担任过中层正职及以上职务。</w:t>
                                  </w:r>
                                </w:p>
                              </w:tc>
                            </w:tr>
                            <w:tr w14:paraId="5B84D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6"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64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0D5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人力资源部</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A01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部长</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484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A986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根据公司战略规划，制定人力资源工作规划；制定人员配置计划，实施招聘，搭建和补充各工作团队；制定和完善培训体系并组织实施；根据管理局年度工作计划任务，制定并实施公司薪酬绩效体系和制度，落实绩效考核制度；负责员工工资、社保、公积金等核定及工商申报等相关工作；负责工会、团委、妇联等工作，制定和执行各类福利措施；规范劳动制度，完善用工流程；监管海昏置业公司人力资源管理工作；完成公司交办的其它事项。</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F11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研究生专业：</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 xml:space="preserve">工商管理（1202）、公共管理（1204）、工商管理（1251）、公共管理（1252)                  </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本科生专业：</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管理科学与工程类（1201）、工商管理类（1202）、公共管理类（1204）</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B68A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FA97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年龄40周岁及以下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A494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满足下述条件之一的现职管理人员，不同类型的工作年限可累计计算：</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1.在中央企业(需为央企三级以上子公司）人力资源部门工作满三年。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2.在省属国有企业（含二级以上子公司）人力资源部门工作满三年。</w:t>
                                  </w:r>
                                </w:p>
                                <w:p w14:paraId="1D348CA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3.在地级市属国有企业总部人力资源部门工作满五年。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4.在县（市、区）属国有企业总部人力资源部门担任过中层副职及以上职务。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5.在注册地为江西省且注册资本金为5000万元及以上的外资或民营企业人力资源部门担任过中层副职及以上职务。</w:t>
                                  </w:r>
                                </w:p>
                              </w:tc>
                            </w:tr>
                            <w:tr w14:paraId="7341E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8"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EA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B07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4"/>
                                      <w:szCs w:val="24"/>
                                      <w:u w:val="none"/>
                                      <w:lang w:val="en-US" w:eastAsia="zh-CN" w:bidi="ar"/>
                                    </w:rPr>
                                    <w:t>场</w:t>
                                  </w:r>
                                  <w:r>
                                    <w:rPr>
                                      <w:rFonts w:hint="eastAsia" w:ascii="仿宋_GB2312" w:hAnsi="仿宋_GB2312" w:eastAsia="仿宋_GB2312" w:cs="仿宋_GB2312"/>
                                      <w:i w:val="0"/>
                                      <w:iCs w:val="0"/>
                                      <w:color w:val="000000"/>
                                      <w:kern w:val="0"/>
                                      <w:sz w:val="21"/>
                                      <w:szCs w:val="21"/>
                                      <w:u w:val="none"/>
                                      <w:lang w:val="en-US" w:eastAsia="zh-CN" w:bidi="ar"/>
                                    </w:rPr>
                                    <w:t>招商部</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386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部长</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623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ECB1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公园旅游招徕政策的制定与实施；负责制定公司年度经营和营销计划及实施；负责公园项目招商、对外联络，旅游团体（含研学团队）、大客户的营销；负责文创产品开发、招商、推广、销售工作；负责公园门票销售管理，数据分析及票据的印制、保管、领用、销毁；完成公司交办的其它事项。</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4D7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不限专业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93F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286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年龄40周岁及以下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61E2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满足下述条件之一的现职管理人员，不同类型的工作年限可累计计算：</w:t>
                                  </w:r>
                                </w:p>
                                <w:p w14:paraId="061C861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1.在中央企业(需为央企三级以上子公司）工作满三年。</w:t>
                                  </w:r>
                                </w:p>
                                <w:p w14:paraId="1B49BDA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2.在省属国有企业（含二级以上子公司）工作满三年。</w:t>
                                  </w:r>
                                </w:p>
                                <w:p w14:paraId="2BCC5E0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3.在地级市属国有企业总部工作满五年。</w:t>
                                  </w:r>
                                </w:p>
                                <w:p w14:paraId="1E96AD0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4.在县（市、区）属国有企业总部担任过中层副职及以上职务。</w:t>
                                  </w:r>
                                </w:p>
                                <w:p w14:paraId="4D8A7907">
                                  <w:pPr>
                                    <w:keepNext w:val="0"/>
                                    <w:keepLines w:val="0"/>
                                    <w:pageBreakBefore w:val="0"/>
                                    <w:widowControl w:val="0"/>
                                    <w:kinsoku/>
                                    <w:wordWrap/>
                                    <w:overflowPunct/>
                                    <w:topLinePunct w:val="0"/>
                                    <w:autoSpaceDE/>
                                    <w:autoSpaceDN/>
                                    <w:bidi w:val="0"/>
                                    <w:adjustRightInd/>
                                    <w:snapToGrid/>
                                    <w:spacing w:line="280" w:lineRule="exact"/>
                                    <w:ind w:right="0" w:rightChars="0"/>
                                    <w:jc w:val="both"/>
                                    <w:textAlignment w:val="auto"/>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sz w:val="21"/>
                                      <w:szCs w:val="21"/>
                                      <w:lang w:val="en-US" w:eastAsia="zh-CN"/>
                                    </w:rPr>
                                    <w:t>5.在注册地为江西省且注册资本金为5000万元及以上的外资或民营企业担任过中层副职及以上职务。</w:t>
                                  </w:r>
                                </w:p>
                              </w:tc>
                            </w:tr>
                          </w:tbl>
                          <w:p w14:paraId="2F8EA038"/>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5pt;margin-top:-67.55pt;height:548pt;width:789.85pt;z-index:251659264;mso-width-relative:page;mso-height-relative:page;" fillcolor="#FFFFFF [3201]" filled="t" stroked="f" coordsize="21600,21600" o:gfxdata="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WY53b1wAAAA0BAAAP&#10;AAAAAAAAAAEAIAAAACIAAABkcnMvZG93bnJldi54bWxQSwECFAAUAAAACACHTuJAHA28jFICAACR&#10;BAAADgAAAAAAAAABACAAAAAmAQAAZHJzL2Uyb0RvYy54bWxQSwUGAAAAAAYABgBZAQAA6gUAAAAA&#10;">
                <v:fill on="t" focussize="0,0"/>
                <v:stroke on="f" weight="0.5pt"/>
                <v:imagedata o:title=""/>
                <o:lock v:ext="edit" aspectratio="f"/>
                <v:textbox>
                  <w:txbxContent>
                    <w:tbl>
                      <w:tblPr>
                        <w:tblStyle w:val="3"/>
                        <w:tblW w:w="500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4"/>
                        <w:gridCol w:w="396"/>
                        <w:gridCol w:w="750"/>
                        <w:gridCol w:w="799"/>
                        <w:gridCol w:w="4098"/>
                        <w:gridCol w:w="1676"/>
                        <w:gridCol w:w="688"/>
                        <w:gridCol w:w="671"/>
                        <w:gridCol w:w="6116"/>
                      </w:tblGrid>
                      <w:tr w14:paraId="7ED50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788" w:type="pct"/>
                            <w:gridSpan w:val="4"/>
                            <w:tcBorders>
                              <w:top w:val="nil"/>
                              <w:left w:val="nil"/>
                              <w:bottom w:val="nil"/>
                              <w:right w:val="nil"/>
                            </w:tcBorders>
                            <w:shd w:val="clear" w:color="auto" w:fill="auto"/>
                            <w:noWrap/>
                            <w:vAlign w:val="center"/>
                          </w:tcPr>
                          <w:p w14:paraId="3D868EF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附件1</w:t>
                            </w:r>
                          </w:p>
                        </w:tc>
                        <w:tc>
                          <w:tcPr>
                            <w:tcW w:w="1302" w:type="pct"/>
                            <w:tcBorders>
                              <w:top w:val="nil"/>
                              <w:left w:val="nil"/>
                              <w:bottom w:val="nil"/>
                              <w:right w:val="nil"/>
                            </w:tcBorders>
                            <w:shd w:val="clear" w:color="auto" w:fill="auto"/>
                            <w:noWrap/>
                            <w:vAlign w:val="center"/>
                          </w:tcPr>
                          <w:p w14:paraId="1D12B9EA">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532" w:type="pct"/>
                            <w:tcBorders>
                              <w:top w:val="nil"/>
                              <w:left w:val="nil"/>
                              <w:bottom w:val="nil"/>
                              <w:right w:val="nil"/>
                            </w:tcBorders>
                            <w:shd w:val="clear" w:color="auto" w:fill="auto"/>
                            <w:noWrap/>
                            <w:vAlign w:val="center"/>
                          </w:tcPr>
                          <w:p w14:paraId="3B798190">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218" w:type="pct"/>
                            <w:tcBorders>
                              <w:top w:val="nil"/>
                              <w:left w:val="nil"/>
                              <w:bottom w:val="nil"/>
                              <w:right w:val="nil"/>
                            </w:tcBorders>
                            <w:shd w:val="clear" w:color="auto" w:fill="auto"/>
                            <w:noWrap/>
                            <w:vAlign w:val="center"/>
                          </w:tcPr>
                          <w:p w14:paraId="75D5630E">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213" w:type="pct"/>
                            <w:tcBorders>
                              <w:top w:val="nil"/>
                              <w:left w:val="nil"/>
                              <w:bottom w:val="nil"/>
                              <w:right w:val="nil"/>
                            </w:tcBorders>
                            <w:shd w:val="clear" w:color="auto" w:fill="auto"/>
                            <w:noWrap/>
                            <w:vAlign w:val="center"/>
                          </w:tcPr>
                          <w:p w14:paraId="0EF24914">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c>
                          <w:tcPr>
                            <w:tcW w:w="1944" w:type="pct"/>
                            <w:tcBorders>
                              <w:top w:val="nil"/>
                              <w:left w:val="nil"/>
                              <w:bottom w:val="nil"/>
                              <w:right w:val="nil"/>
                            </w:tcBorders>
                            <w:shd w:val="clear" w:color="auto" w:fill="auto"/>
                            <w:noWrap/>
                            <w:vAlign w:val="center"/>
                          </w:tcPr>
                          <w:p w14:paraId="718C9746">
                            <w:pPr>
                              <w:keepNext w:val="0"/>
                              <w:keepLines w:val="0"/>
                              <w:pageBreakBefore w:val="0"/>
                              <w:kinsoku/>
                              <w:wordWrap/>
                              <w:overflowPunct/>
                              <w:topLinePunct w:val="0"/>
                              <w:autoSpaceDE/>
                              <w:autoSpaceDN/>
                              <w:bidi w:val="0"/>
                              <w:adjustRightInd/>
                              <w:snapToGrid/>
                              <w:spacing w:line="280" w:lineRule="exact"/>
                              <w:rPr>
                                <w:rFonts w:hint="eastAsia" w:ascii="仿宋_GB2312" w:hAnsi="仿宋_GB2312" w:eastAsia="仿宋_GB2312" w:cs="仿宋_GB2312"/>
                                <w:i w:val="0"/>
                                <w:iCs w:val="0"/>
                                <w:color w:val="000000"/>
                                <w:sz w:val="21"/>
                                <w:szCs w:val="21"/>
                                <w:u w:val="none"/>
                              </w:rPr>
                            </w:pPr>
                          </w:p>
                        </w:tc>
                      </w:tr>
                      <w:tr w14:paraId="1F8A7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5000" w:type="pct"/>
                            <w:gridSpan w:val="9"/>
                            <w:tcBorders>
                              <w:top w:val="nil"/>
                              <w:left w:val="nil"/>
                              <w:bottom w:val="nil"/>
                              <w:right w:val="nil"/>
                            </w:tcBorders>
                            <w:shd w:val="clear" w:color="auto" w:fill="auto"/>
                            <w:vAlign w:val="center"/>
                          </w:tcPr>
                          <w:p w14:paraId="4E0A70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default" w:ascii="Times New Roman" w:hAnsi="Times New Roman" w:eastAsia="仿宋_GB2312" w:cs="Times New Roman"/>
                                <w:b/>
                                <w:bCs/>
                                <w:i w:val="0"/>
                                <w:iCs w:val="0"/>
                                <w:color w:val="000000"/>
                                <w:kern w:val="0"/>
                                <w:sz w:val="28"/>
                                <w:szCs w:val="28"/>
                                <w:u w:val="none"/>
                                <w:lang w:val="en-US" w:eastAsia="zh-CN" w:bidi="ar"/>
                              </w:rPr>
                              <w:t>江西省海昏文化旅游发展有限责任公司2025年公开招聘高级管理人员职位表</w:t>
                            </w:r>
                          </w:p>
                        </w:tc>
                      </w:tr>
                      <w:tr w14:paraId="2F4F1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AC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序号</w:t>
                            </w:r>
                          </w:p>
                        </w:tc>
                        <w:tc>
                          <w:tcPr>
                            <w:tcW w:w="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763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部门</w:t>
                            </w:r>
                          </w:p>
                        </w:tc>
                        <w:tc>
                          <w:tcPr>
                            <w:tcW w:w="2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26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招聘岗位</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C748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招聘人数</w:t>
                            </w:r>
                          </w:p>
                        </w:tc>
                        <w:tc>
                          <w:tcPr>
                            <w:tcW w:w="13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611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岗位职责</w:t>
                            </w:r>
                          </w:p>
                        </w:tc>
                        <w:tc>
                          <w:tcPr>
                            <w:tcW w:w="5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6A7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招聘专业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78B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FF2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年龄</w:t>
                            </w:r>
                          </w:p>
                        </w:tc>
                        <w:tc>
                          <w:tcPr>
                            <w:tcW w:w="1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91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其他条件</w:t>
                            </w:r>
                          </w:p>
                        </w:tc>
                      </w:tr>
                      <w:tr w14:paraId="7322E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6"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7D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2E7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总经办</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7C2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副总经理</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CE6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8B9C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分管公园产业发展、品牌宣传、活动策划及市场营销工作。</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ED9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不限专业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C059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71F6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年龄45周岁及以下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0AB2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1.在中央企业(需为央企三级以上子公司）担任过中层副职及以上职务。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2.在省属国有企业（含二级以上子公司）担任过中层副职及以上职务。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3.在地级市属国有企业总部担任过中层副职及以上职务。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4.在县（市、区）属国有企业总部担任过中层正职及以上职务。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5.在注册地为江西省且注册资本金为5000万元及以上的外资或民营企业担任过中层正职及以上职务。</w:t>
                            </w:r>
                          </w:p>
                        </w:tc>
                      </w:tr>
                      <w:tr w14:paraId="5B84D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6"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364D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0D5B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人力资源部</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A012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部长</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484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A986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根据公司战略规划，制定人力资源工作规划；制定人员配置计划，实施招聘，搭建和补充各工作团队；制定和完善培训体系并组织实施；根据管理局年度工作计划任务，制定并实施公司薪酬绩效体系和制度，落实绩效考核制度；负责员工工资、社保、公积金等核定及工商申报等相关工作；负责工会、团委、妇联等工作，制定和执行各类福利措施；规范劳动制度，完善用工流程；监管海昏置业公司人力资源管理工作；完成公司交办的其它事项。</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F11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研究生专业：</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 xml:space="preserve">工商管理（1202）、公共管理（1204）、工商管理（1251）、公共管理（1252)                  </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本科生专业：</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管理科学与工程类（1201）、工商管理类（1202）、公共管理类（1204）</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B68A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FA97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年龄40周岁及以下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A494D">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满足下述条件之一的现职管理人员，不同类型的工作年限可累计计算：</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1.在中央企业(需为央企三级以上子公司）人力资源部门工作满三年。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2.在省属国有企业（含二级以上子公司）人力资源部门工作满三年。</w:t>
                            </w:r>
                          </w:p>
                          <w:p w14:paraId="1D348CA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3.在地级市属国有企业总部人力资源部门工作满五年。</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4.在县（市、区）属国有企业总部人力资源部门担任过中层副职及以上职务。</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5.在注册地为江西省且注册资本金为5000万元及以上的外资或民营企业人力资源部门担任过中层副职及以上职务。</w:t>
                            </w:r>
                          </w:p>
                        </w:tc>
                      </w:tr>
                      <w:tr w14:paraId="7341E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8" w:hRule="atLeast"/>
                        </w:trPr>
                        <w:tc>
                          <w:tcPr>
                            <w:tcW w:w="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9EA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B07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4"/>
                                <w:szCs w:val="24"/>
                                <w:u w:val="none"/>
                                <w:lang w:val="en-US" w:eastAsia="zh-CN" w:bidi="ar"/>
                              </w:rPr>
                              <w:t>场</w:t>
                            </w:r>
                            <w:r>
                              <w:rPr>
                                <w:rFonts w:hint="eastAsia" w:ascii="仿宋_GB2312" w:hAnsi="仿宋_GB2312" w:eastAsia="仿宋_GB2312" w:cs="仿宋_GB2312"/>
                                <w:i w:val="0"/>
                                <w:iCs w:val="0"/>
                                <w:color w:val="000000"/>
                                <w:kern w:val="0"/>
                                <w:sz w:val="21"/>
                                <w:szCs w:val="21"/>
                                <w:u w:val="none"/>
                                <w:lang w:val="en-US" w:eastAsia="zh-CN" w:bidi="ar"/>
                              </w:rPr>
                              <w:t>招商部</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386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部长</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623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3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ECB1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负责公园旅游招徕政策的制定与实施；负责制定公司年度经营和营销计划及实施；负责公园项目招商、对外联络，旅游团体（含研学团队）、大客户的营销；负责文创产品开发、招商、推广、销售工作；负责公园门票销售管理，数据分析及票据的印制、保管、领用、销毁；完成公司交办的其它事项。</w:t>
                            </w:r>
                          </w:p>
                        </w:tc>
                        <w:tc>
                          <w:tcPr>
                            <w:tcW w:w="5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4D7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不限专业</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93F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全日制本科及以上学历</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286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年龄40周岁及以下</w:t>
                            </w:r>
                          </w:p>
                        </w:tc>
                        <w:tc>
                          <w:tcPr>
                            <w:tcW w:w="19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61E2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满足下述条件之一的现职管理人员，不同类型的工作年限可累计计算：</w:t>
                            </w:r>
                          </w:p>
                          <w:p w14:paraId="061C861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1.在中央企业(需为央企三级以上子公司）工作满三年。</w:t>
                            </w:r>
                          </w:p>
                          <w:p w14:paraId="1B49BDA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2.在省属国有企业（含二级以上子公司）工作满三年。</w:t>
                            </w:r>
                          </w:p>
                          <w:p w14:paraId="2BCC5E0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3.在地级市属国有企业总部工作满五年。</w:t>
                            </w:r>
                          </w:p>
                          <w:p w14:paraId="1E96AD0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4.在县（市、区）属国有企业总部担任过中层副职及以上职务。</w:t>
                            </w:r>
                          </w:p>
                          <w:p w14:paraId="4D8A7907">
                            <w:pPr>
                              <w:keepNext w:val="0"/>
                              <w:keepLines w:val="0"/>
                              <w:pageBreakBefore w:val="0"/>
                              <w:widowControl w:val="0"/>
                              <w:kinsoku/>
                              <w:wordWrap/>
                              <w:overflowPunct/>
                              <w:topLinePunct w:val="0"/>
                              <w:autoSpaceDE/>
                              <w:autoSpaceDN/>
                              <w:bidi w:val="0"/>
                              <w:adjustRightInd/>
                              <w:snapToGrid/>
                              <w:spacing w:line="280" w:lineRule="exact"/>
                              <w:ind w:right="0" w:rightChars="0"/>
                              <w:jc w:val="both"/>
                              <w:textAlignment w:val="auto"/>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sz w:val="21"/>
                                <w:szCs w:val="21"/>
                                <w:lang w:val="en-US" w:eastAsia="zh-CN"/>
                              </w:rPr>
                              <w:t>5.在注册地为江西省且注册资本金为5000万元及以上的外资或民营企业担任过中层副职及以上职务。</w:t>
                            </w:r>
                          </w:p>
                        </w:tc>
                      </w:tr>
                    </w:tbl>
                    <w:p w14:paraId="2F8EA038"/>
                  </w:txbxContent>
                </v:textbox>
              </v:shape>
            </w:pict>
          </mc:Fallback>
        </mc:AlternateConten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9B2AB3"/>
    <w:rsid w:val="2AE60BC4"/>
    <w:rsid w:val="779B2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江西分公司</Company>
  <Pages>1</Pages>
  <Words>0</Words>
  <Characters>0</Characters>
  <Lines>0</Lines>
  <Paragraphs>0</Paragraphs>
  <TotalTime>4</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2025-03-06T13:16:00Z</dcterms:created>
  <dc:creator>Administrator</dc:creator>
  <cp:lastModifiedBy>9095</cp:lastModifiedBy>
  <dcterms:modified xsi:type="dcterms:W3CDTF">2025-03-07T07:11:25Z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13546188E8A4407281B7DD8813A6275B_11</vt:lpwstr>
  </property>
  <property fmtid="{D5CDD505-2E9C-101B-9397-08002B2CF9AE}" pid="4" name="KSOTemplateDocerSaveRecord">
    <vt:lpwstr>eyJoZGlkIjoiMGMxNTNkM2VjNTJjNzdlZjg1YWQxMTFhMzIxMzk3MGIiLCJ1c2VySWQiOiI2NDg3OTc0NzUifQ==</vt:lpwstr>
  </property>
</Properties>
</file>